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040FB" w14:textId="343B717C" w:rsidR="0059055B" w:rsidRDefault="0059055B" w:rsidP="0059055B">
      <w:pPr>
        <w:spacing w:after="0"/>
        <w:contextualSpacing/>
        <w:rPr>
          <w:sz w:val="20"/>
          <w:szCs w:val="20"/>
          <w:lang w:val="en-GB" w:eastAsia="ja-JP"/>
          <w14:shadow w14:blurRad="50800" w14:dist="38100" w14:dir="2700000" w14:sx="100000" w14:sy="100000" w14:kx="0" w14:ky="0" w14:algn="tl">
            <w14:srgbClr w14:val="000000">
              <w14:alpha w14:val="60000"/>
            </w14:srgbClr>
          </w14:shadow>
        </w:rPr>
      </w:pPr>
      <w:r>
        <w:rPr>
          <w:sz w:val="20"/>
          <w:szCs w:val="20"/>
          <w:lang w:val="en-GB" w:eastAsia="ja-JP"/>
          <w14:shadow w14:blurRad="50800" w14:dist="38100" w14:dir="2700000" w14:sx="100000" w14:sy="100000" w14:kx="0" w14:ky="0" w14:algn="tl">
            <w14:srgbClr w14:val="000000">
              <w14:alpha w14:val="60000"/>
            </w14:srgbClr>
          </w14:shadow>
        </w:rPr>
        <w:t>Trade Remedies Authority</w:t>
      </w:r>
    </w:p>
    <w:p w14:paraId="5CA9D37E" w14:textId="77777777" w:rsidR="0059055B" w:rsidRDefault="0059055B" w:rsidP="0059055B">
      <w:pPr>
        <w:spacing w:after="0"/>
        <w:contextualSpacing/>
        <w:rPr>
          <w:sz w:val="20"/>
          <w:szCs w:val="20"/>
          <w:lang w:val="en-GB" w:eastAsia="ja-JP"/>
          <w14:shadow w14:blurRad="50800" w14:dist="38100" w14:dir="2700000" w14:sx="100000" w14:sy="100000" w14:kx="0" w14:ky="0" w14:algn="tl">
            <w14:srgbClr w14:val="000000">
              <w14:alpha w14:val="60000"/>
            </w14:srgbClr>
          </w14:shadow>
        </w:rPr>
      </w:pPr>
      <w:r>
        <w:rPr>
          <w:sz w:val="20"/>
          <w:szCs w:val="20"/>
          <w:lang w:val="en-GB" w:eastAsia="ja-JP"/>
          <w14:shadow w14:blurRad="50800" w14:dist="38100" w14:dir="2700000" w14:sx="100000" w14:sy="100000" w14:kx="0" w14:ky="0" w14:algn="tl">
            <w14:srgbClr w14:val="000000">
              <w14:alpha w14:val="60000"/>
            </w14:srgbClr>
          </w14:shadow>
        </w:rPr>
        <w:t>North Gate House</w:t>
      </w:r>
    </w:p>
    <w:p w14:paraId="7A2381B4" w14:textId="77777777" w:rsidR="0059055B" w:rsidRDefault="0059055B" w:rsidP="0059055B">
      <w:pPr>
        <w:spacing w:after="0"/>
        <w:contextualSpacing/>
        <w:rPr>
          <w:sz w:val="20"/>
          <w:szCs w:val="20"/>
          <w:lang w:val="en-GB" w:eastAsia="ja-JP"/>
          <w14:shadow w14:blurRad="50800" w14:dist="38100" w14:dir="2700000" w14:sx="100000" w14:sy="100000" w14:kx="0" w14:ky="0" w14:algn="tl">
            <w14:srgbClr w14:val="000000">
              <w14:alpha w14:val="60000"/>
            </w14:srgbClr>
          </w14:shadow>
        </w:rPr>
      </w:pPr>
      <w:r>
        <w:rPr>
          <w:sz w:val="20"/>
          <w:szCs w:val="20"/>
          <w:lang w:val="en-GB" w:eastAsia="ja-JP"/>
          <w14:shadow w14:blurRad="50800" w14:dist="38100" w14:dir="2700000" w14:sx="100000" w14:sy="100000" w14:kx="0" w14:ky="0" w14:algn="tl">
            <w14:srgbClr w14:val="000000">
              <w14:alpha w14:val="60000"/>
            </w14:srgbClr>
          </w14:shadow>
        </w:rPr>
        <w:t>21-23 Valpy Street</w:t>
      </w:r>
    </w:p>
    <w:p w14:paraId="3F33DD0A" w14:textId="77777777" w:rsidR="0059055B" w:rsidRDefault="0059055B" w:rsidP="0059055B">
      <w:pPr>
        <w:spacing w:after="0"/>
        <w:contextualSpacing/>
        <w:rPr>
          <w:sz w:val="20"/>
          <w:szCs w:val="20"/>
          <w:lang w:val="en-GB" w:eastAsia="ja-JP"/>
          <w14:shadow w14:blurRad="50800" w14:dist="38100" w14:dir="2700000" w14:sx="100000" w14:sy="100000" w14:kx="0" w14:ky="0" w14:algn="tl">
            <w14:srgbClr w14:val="000000">
              <w14:alpha w14:val="60000"/>
            </w14:srgbClr>
          </w14:shadow>
        </w:rPr>
      </w:pPr>
      <w:r>
        <w:rPr>
          <w:sz w:val="20"/>
          <w:szCs w:val="20"/>
          <w:lang w:val="en-GB" w:eastAsia="ja-JP"/>
          <w14:shadow w14:blurRad="50800" w14:dist="38100" w14:dir="2700000" w14:sx="100000" w14:sy="100000" w14:kx="0" w14:ky="0" w14:algn="tl">
            <w14:srgbClr w14:val="000000">
              <w14:alpha w14:val="60000"/>
            </w14:srgbClr>
          </w14:shadow>
        </w:rPr>
        <w:t>Reading</w:t>
      </w:r>
    </w:p>
    <w:p w14:paraId="43B38BD8" w14:textId="77777777" w:rsidR="0059055B" w:rsidRDefault="0059055B" w:rsidP="0059055B">
      <w:pPr>
        <w:spacing w:after="0"/>
        <w:contextualSpacing/>
        <w:rPr>
          <w:sz w:val="20"/>
          <w:szCs w:val="20"/>
          <w:lang w:val="en-GB" w:eastAsia="ja-JP"/>
          <w14:shadow w14:blurRad="50800" w14:dist="38100" w14:dir="2700000" w14:sx="100000" w14:sy="100000" w14:kx="0" w14:ky="0" w14:algn="tl">
            <w14:srgbClr w14:val="000000">
              <w14:alpha w14:val="60000"/>
            </w14:srgbClr>
          </w14:shadow>
        </w:rPr>
      </w:pPr>
      <w:r>
        <w:rPr>
          <w:sz w:val="20"/>
          <w:szCs w:val="20"/>
          <w:lang w:val="en-GB" w:eastAsia="ja-JP"/>
          <w14:shadow w14:blurRad="50800" w14:dist="38100" w14:dir="2700000" w14:sx="100000" w14:sy="100000" w14:kx="0" w14:ky="0" w14:algn="tl">
            <w14:srgbClr w14:val="000000">
              <w14:alpha w14:val="60000"/>
            </w14:srgbClr>
          </w14:shadow>
        </w:rPr>
        <w:t>Berkshire</w:t>
      </w:r>
    </w:p>
    <w:p w14:paraId="5A08B4AF" w14:textId="28FC626D" w:rsidR="0059055B" w:rsidRPr="005714C0" w:rsidRDefault="0059055B" w:rsidP="0059055B">
      <w:pPr>
        <w:spacing w:after="0"/>
        <w:contextualSpacing/>
        <w:rPr>
          <w:rFonts w:ascii="Arial" w:eastAsia="MS Mincho" w:hAnsi="Arial" w:cs="Arial"/>
          <w:b/>
          <w:color w:val="FF0000"/>
          <w:lang w:val="en-GB" w:eastAsia="ja-JP"/>
          <w14:shadow w14:blurRad="50800" w14:dist="38100" w14:dir="2700000" w14:sx="100000" w14:sy="100000" w14:kx="0" w14:ky="0" w14:algn="tl">
            <w14:srgbClr w14:val="000000">
              <w14:alpha w14:val="60000"/>
            </w14:srgbClr>
          </w14:shadow>
        </w:rPr>
      </w:pPr>
      <w:r>
        <w:rPr>
          <w:sz w:val="20"/>
          <w:szCs w:val="20"/>
          <w:lang w:val="en-GB" w:eastAsia="ja-JP"/>
          <w14:shadow w14:blurRad="50800" w14:dist="38100" w14:dir="2700000" w14:sx="100000" w14:sy="100000" w14:kx="0" w14:ky="0" w14:algn="tl">
            <w14:srgbClr w14:val="000000">
              <w14:alpha w14:val="60000"/>
            </w14:srgbClr>
          </w14:shadow>
        </w:rPr>
        <w:t>RG1 1AF</w:t>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t xml:space="preserve">                                  </w:t>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r>
      <w:r>
        <w:rPr>
          <w:sz w:val="20"/>
          <w:szCs w:val="20"/>
          <w:lang w:val="en-GB" w:eastAsia="ja-JP"/>
          <w14:shadow w14:blurRad="50800" w14:dist="38100" w14:dir="2700000" w14:sx="100000" w14:sy="100000" w14:kx="0" w14:ky="0" w14:algn="tl">
            <w14:srgbClr w14:val="000000">
              <w14:alpha w14:val="60000"/>
            </w14:srgbClr>
          </w14:shadow>
        </w:rPr>
        <w:tab/>
        <w:t>26</w:t>
      </w:r>
      <w:r w:rsidRPr="00D6720B">
        <w:rPr>
          <w:sz w:val="20"/>
          <w:szCs w:val="20"/>
          <w:vertAlign w:val="superscript"/>
          <w:lang w:val="en-GB" w:eastAsia="ja-JP"/>
          <w14:shadow w14:blurRad="50800" w14:dist="38100" w14:dir="2700000" w14:sx="100000" w14:sy="100000" w14:kx="0" w14:ky="0" w14:algn="tl">
            <w14:srgbClr w14:val="000000">
              <w14:alpha w14:val="60000"/>
            </w14:srgbClr>
          </w14:shadow>
        </w:rPr>
        <w:t>t</w:t>
      </w:r>
      <w:r>
        <w:rPr>
          <w:sz w:val="20"/>
          <w:szCs w:val="20"/>
          <w:lang w:val="en-GB" w:eastAsia="ja-JP"/>
          <w14:shadow w14:blurRad="50800" w14:dist="38100" w14:dir="2700000" w14:sx="100000" w14:sy="100000" w14:kx="0" w14:ky="0" w14:algn="tl">
            <w14:srgbClr w14:val="000000">
              <w14:alpha w14:val="60000"/>
            </w14:srgbClr>
          </w14:shadow>
        </w:rPr>
        <w:t xml:space="preserve"> May 2026</w:t>
      </w:r>
    </w:p>
    <w:p w14:paraId="1B0887E6" w14:textId="77777777" w:rsidR="0059055B" w:rsidRDefault="0059055B" w:rsidP="0059055B">
      <w:pPr>
        <w:rPr>
          <w:rFonts w:ascii="Arial" w:eastAsia="MS Mincho" w:hAnsi="Arial" w:cs="Arial"/>
          <w:b/>
          <w:color w:val="FF0000"/>
          <w:lang w:val="en-GB" w:eastAsia="ja-JP"/>
          <w14:shadow w14:blurRad="50800" w14:dist="38100" w14:dir="2700000" w14:sx="100000" w14:sy="100000" w14:kx="0" w14:ky="0" w14:algn="tl">
            <w14:srgbClr w14:val="000000">
              <w14:alpha w14:val="60000"/>
            </w14:srgbClr>
          </w14:shadow>
        </w:rPr>
      </w:pPr>
    </w:p>
    <w:p w14:paraId="315252BB" w14:textId="77777777" w:rsidR="0059055B" w:rsidRDefault="0059055B" w:rsidP="0059055B">
      <w:p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Dear Sir or Madam</w:t>
      </w:r>
    </w:p>
    <w:p w14:paraId="3E3C910C" w14:textId="77777777" w:rsidR="0059055B" w:rsidRDefault="0059055B" w:rsidP="0059055B">
      <w:p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Re: AD0086 – Response to Kronos comments on product scope 20</w:t>
      </w:r>
      <w:r w:rsidRPr="00EB5BC7">
        <w:rPr>
          <w:rFonts w:ascii="Calibri body" w:eastAsia="MS Mincho" w:hAnsi="Calibri body" w:cs="Arial"/>
          <w:bCs/>
          <w:sz w:val="20"/>
          <w:szCs w:val="20"/>
          <w:vertAlign w:val="superscript"/>
          <w:lang w:val="en-GB" w:eastAsia="ja-JP"/>
          <w14:shadow w14:blurRad="50800" w14:dist="38100" w14:dir="2700000" w14:sx="100000" w14:sy="100000" w14:kx="0" w14:ky="0" w14:algn="tl">
            <w14:srgbClr w14:val="000000">
              <w14:alpha w14:val="60000"/>
            </w14:srgbClr>
          </w14:shadow>
        </w:rPr>
        <w:t>th</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April 2026</w:t>
      </w:r>
    </w:p>
    <w:p w14:paraId="34954D48" w14:textId="77777777" w:rsidR="0059055B" w:rsidRDefault="0059055B" w:rsidP="0059055B">
      <w:pPr>
        <w:pStyle w:val="ListParagraph"/>
        <w:numPr>
          <w:ilvl w:val="0"/>
          <w:numId w:val="1"/>
        </w:numPr>
        <w:rPr>
          <w:rFonts w:ascii="Calibri body" w:eastAsia="MS Mincho" w:hAnsi="Calibri body" w:cs="Arial" w:hint="eastAsia"/>
          <w:b/>
          <w:sz w:val="20"/>
          <w:szCs w:val="20"/>
          <w:lang w:val="en-GB" w:eastAsia="ja-JP"/>
          <w14:shadow w14:blurRad="50800" w14:dist="38100" w14:dir="2700000" w14:sx="100000" w14:sy="100000" w14:kx="0" w14:ky="0" w14:algn="tl">
            <w14:srgbClr w14:val="000000">
              <w14:alpha w14:val="60000"/>
            </w14:srgbClr>
          </w14:shadow>
        </w:rPr>
      </w:pPr>
      <w:r w:rsidRPr="00F67367">
        <w:rPr>
          <w:rFonts w:ascii="Calibri body" w:eastAsia="MS Mincho" w:hAnsi="Calibri body" w:cs="Arial"/>
          <w:b/>
          <w:sz w:val="20"/>
          <w:szCs w:val="20"/>
          <w:lang w:val="en-GB" w:eastAsia="ja-JP"/>
          <w14:shadow w14:blurRad="50800" w14:dist="38100" w14:dir="2700000" w14:sx="100000" w14:sy="100000" w14:kx="0" w14:ky="0" w14:algn="tl">
            <w14:srgbClr w14:val="000000">
              <w14:alpha w14:val="60000"/>
            </w14:srgbClr>
          </w14:shadow>
        </w:rPr>
        <w:t>Ti02 for ink applications is not extraordinary or unique</w:t>
      </w:r>
    </w:p>
    <w:p w14:paraId="5EC2876A" w14:textId="77777777" w:rsidR="0059055B" w:rsidRDefault="0059055B" w:rsidP="0059055B">
      <w:pPr>
        <w:pStyle w:val="ListParagraph"/>
        <w:rPr>
          <w:rFonts w:ascii="Calibri body" w:eastAsia="MS Mincho" w:hAnsi="Calibri body" w:cs="Arial" w:hint="eastAsia"/>
          <w:b/>
          <w:sz w:val="20"/>
          <w:szCs w:val="20"/>
          <w:lang w:val="en-GB" w:eastAsia="ja-JP"/>
          <w14:shadow w14:blurRad="50800" w14:dist="38100" w14:dir="2700000" w14:sx="100000" w14:sy="100000" w14:kx="0" w14:ky="0" w14:algn="tl">
            <w14:srgbClr w14:val="000000">
              <w14:alpha w14:val="60000"/>
            </w14:srgbClr>
          </w14:shadow>
        </w:rPr>
      </w:pPr>
    </w:p>
    <w:p w14:paraId="67D1D98D" w14:textId="77777777" w:rsidR="0059055B" w:rsidRPr="00130E07" w:rsidRDefault="0059055B" w:rsidP="0059055B">
      <w:pPr>
        <w:pStyle w:val="ListParagraph"/>
        <w:numPr>
          <w:ilvl w:val="1"/>
          <w:numId w:val="1"/>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130E07">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While it is correct that certain Ti02 grades developed for inks can be used in other applications, the reverse is not true:</w:t>
      </w:r>
    </w:p>
    <w:p w14:paraId="7893F393" w14:textId="77777777" w:rsidR="0059055B" w:rsidRDefault="0059055B" w:rsidP="0059055B">
      <w:pPr>
        <w:pStyle w:val="ListParagraph"/>
        <w:rPr>
          <w:rFonts w:ascii="Calibri body" w:eastAsia="MS Mincho" w:hAnsi="Calibri body" w:cs="Arial" w:hint="eastAsia"/>
          <w:b/>
          <w:sz w:val="20"/>
          <w:szCs w:val="20"/>
          <w:lang w:val="en-GB" w:eastAsia="ja-JP"/>
          <w14:shadow w14:blurRad="50800" w14:dist="38100" w14:dir="2700000" w14:sx="100000" w14:sy="100000" w14:kx="0" w14:ky="0" w14:algn="tl">
            <w14:srgbClr w14:val="000000">
              <w14:alpha w14:val="60000"/>
            </w14:srgbClr>
          </w14:shadow>
        </w:rPr>
      </w:pPr>
      <w:r w:rsidRPr="005647EC">
        <w:rPr>
          <w:rFonts w:ascii="Calibri body" w:eastAsia="MS Mincho" w:hAnsi="Calibri body" w:cs="Arial"/>
          <w:b/>
          <w:sz w:val="20"/>
          <w:szCs w:val="20"/>
          <w:lang w:val="en-GB" w:eastAsia="ja-JP"/>
          <w14:shadow w14:blurRad="50800" w14:dist="38100" w14:dir="2700000" w14:sx="100000" w14:sy="100000" w14:kx="0" w14:ky="0" w14:algn="tl">
            <w14:srgbClr w14:val="000000">
              <w14:alpha w14:val="60000"/>
            </w14:srgbClr>
          </w14:shadow>
        </w:rPr>
        <w:t>Not all Ti02 grades are suitable for inks</w:t>
      </w:r>
    </w:p>
    <w:p w14:paraId="5EF44A2F" w14:textId="77777777" w:rsidR="0059055B" w:rsidRPr="00DE7094" w:rsidRDefault="0059055B" w:rsidP="0059055B">
      <w:pPr>
        <w:pStyle w:val="ListParagraph"/>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DE7094">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Ink applications require:</w:t>
      </w:r>
    </w:p>
    <w:p w14:paraId="5CCEC99C" w14:textId="77777777" w:rsidR="0059055B" w:rsidRPr="00DE7094" w:rsidRDefault="0059055B" w:rsidP="0059055B">
      <w:pPr>
        <w:pStyle w:val="ListParagraph"/>
        <w:numPr>
          <w:ilvl w:val="1"/>
          <w:numId w:val="2"/>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DE7094">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Narrow particle size distribution</w:t>
      </w:r>
    </w:p>
    <w:p w14:paraId="04194C07" w14:textId="77777777" w:rsidR="0059055B" w:rsidRPr="00DE7094" w:rsidRDefault="0059055B" w:rsidP="0059055B">
      <w:pPr>
        <w:pStyle w:val="ListParagraph"/>
        <w:numPr>
          <w:ilvl w:val="1"/>
          <w:numId w:val="2"/>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DE7094">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High gloss &amp; opacity</w:t>
      </w:r>
    </w:p>
    <w:p w14:paraId="598660AA" w14:textId="77777777" w:rsidR="0059055B" w:rsidRDefault="0059055B" w:rsidP="0059055B">
      <w:pPr>
        <w:pStyle w:val="ListParagraph"/>
        <w:numPr>
          <w:ilvl w:val="1"/>
          <w:numId w:val="2"/>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DE7094">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Strict dispersion behaviou</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r</w:t>
      </w:r>
    </w:p>
    <w:p w14:paraId="13373579" w14:textId="77777777" w:rsidR="0059055B" w:rsidRDefault="0059055B" w:rsidP="0059055B">
      <w:pPr>
        <w:ind w:left="72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These are performance-critical parameters, not visible in standard documentation (MSDS or CoA), but verifiable through physical testing (</w:t>
      </w:r>
      <w:proofErr w:type="spellStart"/>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eg.</w:t>
      </w:r>
      <w:proofErr w:type="spellEnd"/>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particle size distribution analysis).</w:t>
      </w:r>
    </w:p>
    <w:p w14:paraId="480B2305" w14:textId="77777777" w:rsidR="0059055B" w:rsidRDefault="0059055B" w:rsidP="0059055B">
      <w:pPr>
        <w:ind w:left="72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Therefore, Ti02 for Inks is functionally differentiated, even if not formally classified in customs nomenclature. </w:t>
      </w:r>
    </w:p>
    <w:p w14:paraId="6E4B5C44" w14:textId="230FD99A" w:rsidR="0059055B" w:rsidRDefault="0059055B" w:rsidP="0059055B">
      <w:p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1.2</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ab/>
        <w:t xml:space="preserve">Industrial reality (sensitive information redacted)    </w:t>
      </w:r>
    </w:p>
    <w:p w14:paraId="762F97F5" w14:textId="4FF490DD" w:rsidR="0059055B" w:rsidRDefault="0059055B" w:rsidP="0059055B">
      <w:p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ab/>
        <w:t>This demonstrates that:</w:t>
      </w:r>
    </w:p>
    <w:p w14:paraId="1AE5992D" w14:textId="77777777" w:rsidR="0059055B" w:rsidRDefault="0059055B" w:rsidP="0059055B">
      <w:pPr>
        <w:pStyle w:val="ListParagraph"/>
        <w:numPr>
          <w:ilvl w:val="0"/>
          <w:numId w:val="4"/>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Dedicated “ink grades” do exist in practice</w:t>
      </w:r>
    </w:p>
    <w:p w14:paraId="753220E5" w14:textId="77777777" w:rsidR="0059055B" w:rsidRDefault="0059055B" w:rsidP="0059055B">
      <w:pPr>
        <w:pStyle w:val="ListParagraph"/>
        <w:numPr>
          <w:ilvl w:val="0"/>
          <w:numId w:val="4"/>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They are not interchangeable with the broader Ti02 market</w:t>
      </w:r>
    </w:p>
    <w:p w14:paraId="5B545127" w14:textId="77777777" w:rsidR="0059055B" w:rsidRPr="00E542B6" w:rsidRDefault="0059055B" w:rsidP="0059055B">
      <w:pPr>
        <w:pStyle w:val="ListParagraph"/>
        <w:numPr>
          <w:ilvl w:val="0"/>
          <w:numId w:val="4"/>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p>
    <w:p w14:paraId="60D41C55" w14:textId="77777777" w:rsidR="0059055B" w:rsidRPr="0004507B" w:rsidRDefault="0059055B" w:rsidP="0059055B">
      <w:pPr>
        <w:pStyle w:val="ListParagraph"/>
        <w:numPr>
          <w:ilvl w:val="1"/>
          <w:numId w:val="5"/>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04507B">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Lack of viable EU supply alternatives</w:t>
      </w:r>
    </w:p>
    <w:p w14:paraId="444FC26C" w14:textId="77777777" w:rsidR="0059055B" w:rsidRDefault="0059055B" w:rsidP="0059055B">
      <w:pPr>
        <w:ind w:firstLine="72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K</w:t>
      </w:r>
      <w:r w:rsidRPr="00424AF7">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ronos</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w:t>
      </w:r>
      <w:r w:rsidRPr="00424AF7">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claim that multiple EU suppliers can serve the ink segment does not reflect market reality</w:t>
      </w:r>
      <w:r w:rsidRPr="00424AF7">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w:t>
      </w:r>
    </w:p>
    <w:p w14:paraId="42E27609" w14:textId="77777777" w:rsidR="0059055B" w:rsidRPr="002552F1" w:rsidRDefault="0059055B" w:rsidP="0059055B">
      <w:pPr>
        <w:pStyle w:val="ListParagraph"/>
        <w:numPr>
          <w:ilvl w:val="0"/>
          <w:numId w:val="8"/>
        </w:numPr>
        <w:rPr>
          <w:rFonts w:ascii="Calibri body" w:eastAsia="MS Mincho" w:hAnsi="Calibri body" w:cs="Arial" w:hint="eastAsia"/>
          <w:b/>
          <w:sz w:val="20"/>
          <w:szCs w:val="20"/>
          <w:lang w:val="en-GB" w:eastAsia="ja-JP"/>
          <w14:shadow w14:blurRad="50800" w14:dist="38100" w14:dir="2700000" w14:sx="100000" w14:sy="100000" w14:kx="0" w14:ky="0" w14:algn="tl">
            <w14:srgbClr w14:val="000000">
              <w14:alpha w14:val="60000"/>
            </w14:srgbClr>
          </w14:shadow>
        </w:rPr>
      </w:pPr>
      <w:proofErr w:type="spellStart"/>
      <w:r w:rsidRPr="002552F1">
        <w:rPr>
          <w:rFonts w:ascii="Calibri body" w:eastAsia="MS Mincho" w:hAnsi="Calibri body" w:cs="Arial"/>
          <w:b/>
          <w:sz w:val="20"/>
          <w:szCs w:val="20"/>
          <w:lang w:val="en-GB" w:eastAsia="ja-JP"/>
          <w14:shadow w14:blurRad="50800" w14:dist="38100" w14:dir="2700000" w14:sx="100000" w14:sy="100000" w14:kx="0" w14:ky="0" w14:algn="tl">
            <w14:srgbClr w14:val="000000">
              <w14:alpha w14:val="60000"/>
            </w14:srgbClr>
          </w14:shadow>
        </w:rPr>
        <w:t>Cinkarna</w:t>
      </w:r>
      <w:proofErr w:type="spellEnd"/>
    </w:p>
    <w:p w14:paraId="04D71815" w14:textId="77777777" w:rsidR="0059055B" w:rsidRPr="00855C13" w:rsidRDefault="0059055B" w:rsidP="0059055B">
      <w:pPr>
        <w:pStyle w:val="ListParagraph"/>
        <w:numPr>
          <w:ilvl w:val="0"/>
          <w:numId w:val="7"/>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Declares ink-compatible grades.</w:t>
      </w:r>
    </w:p>
    <w:p w14:paraId="108B9402" w14:textId="40AEBBD4" w:rsidR="0059055B" w:rsidRPr="0059055B" w:rsidRDefault="0059055B" w:rsidP="0059055B">
      <w:pPr>
        <w:pStyle w:val="ListParagraph"/>
        <w:numPr>
          <w:ilvl w:val="0"/>
          <w:numId w:val="6"/>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w:t>
      </w:r>
      <w:r w:rsidRPr="0059055B">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t>S</w:t>
      </w:r>
      <w:r w:rsidRPr="0059055B">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ensitive info redacted</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w:t>
      </w:r>
      <w:r w:rsidRPr="0059055B">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w:t>
      </w:r>
    </w:p>
    <w:p w14:paraId="55B9C7DF" w14:textId="77777777" w:rsidR="0059055B" w:rsidRPr="002552F1" w:rsidRDefault="0059055B" w:rsidP="0059055B">
      <w:pPr>
        <w:pStyle w:val="ListParagraph"/>
        <w:numPr>
          <w:ilvl w:val="0"/>
          <w:numId w:val="8"/>
        </w:numPr>
        <w:rPr>
          <w:rFonts w:ascii="Calibri body" w:eastAsia="MS Mincho" w:hAnsi="Calibri body" w:cs="Arial" w:hint="eastAsia"/>
          <w:b/>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
          <w:sz w:val="20"/>
          <w:szCs w:val="20"/>
          <w:lang w:val="en-GB" w:eastAsia="ja-JP"/>
          <w14:shadow w14:blurRad="50800" w14:dist="38100" w14:dir="2700000" w14:sx="100000" w14:sy="100000" w14:kx="0" w14:ky="0" w14:algn="tl">
            <w14:srgbClr w14:val="000000">
              <w14:alpha w14:val="60000"/>
            </w14:srgbClr>
          </w14:shadow>
        </w:rPr>
        <w:t xml:space="preserve">Nuova </w:t>
      </w:r>
      <w:proofErr w:type="spellStart"/>
      <w:r>
        <w:rPr>
          <w:rFonts w:ascii="Calibri body" w:eastAsia="MS Mincho" w:hAnsi="Calibri body" w:cs="Arial"/>
          <w:b/>
          <w:sz w:val="20"/>
          <w:szCs w:val="20"/>
          <w:lang w:val="en-GB" w:eastAsia="ja-JP"/>
          <w14:shadow w14:blurRad="50800" w14:dist="38100" w14:dir="2700000" w14:sx="100000" w14:sy="100000" w14:kx="0" w14:ky="0" w14:algn="tl">
            <w14:srgbClr w14:val="000000">
              <w14:alpha w14:val="60000"/>
            </w14:srgbClr>
          </w14:shadow>
        </w:rPr>
        <w:t>Solmine</w:t>
      </w:r>
      <w:proofErr w:type="spellEnd"/>
    </w:p>
    <w:p w14:paraId="5335AA3A" w14:textId="77777777" w:rsidR="0059055B" w:rsidRPr="00855C13" w:rsidRDefault="0059055B" w:rsidP="0059055B">
      <w:pPr>
        <w:pStyle w:val="ListParagraph"/>
        <w:numPr>
          <w:ilvl w:val="0"/>
          <w:numId w:val="7"/>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Restarted production at </w:t>
      </w:r>
      <w:proofErr w:type="spellStart"/>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Scarlino</w:t>
      </w:r>
      <w:proofErr w:type="spellEnd"/>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site only in Q1 2026.</w:t>
      </w:r>
    </w:p>
    <w:p w14:paraId="4CD04258" w14:textId="77777777" w:rsidR="0059055B" w:rsidRDefault="0059055B" w:rsidP="0059055B">
      <w:pPr>
        <w:pStyle w:val="ListParagraph"/>
        <w:numPr>
          <w:ilvl w:val="0"/>
          <w:numId w:val="6"/>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Currently operating only one out of three lines.</w:t>
      </w:r>
    </w:p>
    <w:p w14:paraId="6C8E0A8D" w14:textId="77777777" w:rsidR="0059055B" w:rsidRPr="00AE74A0" w:rsidRDefault="0059055B" w:rsidP="0059055B">
      <w:pPr>
        <w:pStyle w:val="ListParagraph"/>
        <w:numPr>
          <w:ilvl w:val="0"/>
          <w:numId w:val="6"/>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AE74A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t>V</w:t>
      </w:r>
      <w:r w:rsidRPr="00AE74A0">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ery limited capacity for inks</w:t>
      </w:r>
    </w:p>
    <w:p w14:paraId="11579790" w14:textId="4316A53C" w:rsidR="0059055B" w:rsidRDefault="0059055B" w:rsidP="0059055B">
      <w:pPr>
        <w:ind w:left="72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K</w:t>
      </w:r>
      <w:r w:rsidRPr="00202243">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ronos itself</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has insufficient capacity to support</w:t>
      </w:r>
      <w:r w:rsidRPr="00202243">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the inks industry in full.</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(Sensitive info redacted).</w:t>
      </w:r>
    </w:p>
    <w:p w14:paraId="2F380B28" w14:textId="77777777" w:rsidR="0059055B" w:rsidRDefault="0059055B" w:rsidP="0059055B">
      <w:pPr>
        <w:ind w:left="72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p>
    <w:p w14:paraId="685E38E4" w14:textId="77777777" w:rsidR="0059055B" w:rsidRDefault="0059055B" w:rsidP="0059055B">
      <w:pPr>
        <w:pStyle w:val="ListParagraph"/>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p>
    <w:p w14:paraId="01B96AE8" w14:textId="77777777" w:rsidR="0059055B" w:rsidRDefault="0059055B" w:rsidP="0059055B">
      <w:pPr>
        <w:pStyle w:val="ListParagraph"/>
        <w:numPr>
          <w:ilvl w:val="0"/>
          <w:numId w:val="5"/>
        </w:numPr>
        <w:rPr>
          <w:rFonts w:ascii="Calibri body" w:eastAsia="MS Mincho" w:hAnsi="Calibri body" w:cs="Arial" w:hint="eastAsia"/>
          <w:b/>
          <w:sz w:val="20"/>
          <w:szCs w:val="20"/>
          <w:lang w:val="en-GB" w:eastAsia="ja-JP"/>
          <w14:shadow w14:blurRad="50800" w14:dist="38100" w14:dir="2700000" w14:sx="100000" w14:sy="100000" w14:kx="0" w14:ky="0" w14:algn="tl">
            <w14:srgbClr w14:val="000000">
              <w14:alpha w14:val="60000"/>
            </w14:srgbClr>
          </w14:shadow>
        </w:rPr>
      </w:pPr>
      <w:r w:rsidRPr="00870529">
        <w:rPr>
          <w:rFonts w:ascii="Calibri body" w:eastAsia="MS Mincho" w:hAnsi="Calibri body" w:cs="Arial"/>
          <w:b/>
          <w:sz w:val="20"/>
          <w:szCs w:val="20"/>
          <w:lang w:val="en-GB" w:eastAsia="ja-JP"/>
          <w14:shadow w14:blurRad="50800" w14:dist="38100" w14:dir="2700000" w14:sx="100000" w14:sy="100000" w14:kx="0" w14:ky="0" w14:algn="tl">
            <w14:srgbClr w14:val="000000">
              <w14:alpha w14:val="60000"/>
            </w14:srgbClr>
          </w14:shadow>
        </w:rPr>
        <w:lastRenderedPageBreak/>
        <w:t>The price for Ti02 for ink applications means users will switch to Ti02 marketed for ink applications for use in other applications.</w:t>
      </w:r>
    </w:p>
    <w:p w14:paraId="41470539" w14:textId="77777777" w:rsidR="0059055B" w:rsidRDefault="0059055B" w:rsidP="0059055B">
      <w:pPr>
        <w:pStyle w:val="ListParagraph"/>
        <w:rPr>
          <w:rFonts w:ascii="Calibri body" w:eastAsia="MS Mincho" w:hAnsi="Calibri body" w:cs="Arial" w:hint="eastAsia"/>
          <w:b/>
          <w:sz w:val="20"/>
          <w:szCs w:val="20"/>
          <w:lang w:val="en-GB" w:eastAsia="ja-JP"/>
          <w14:shadow w14:blurRad="50800" w14:dist="38100" w14:dir="2700000" w14:sx="100000" w14:sy="100000" w14:kx="0" w14:ky="0" w14:algn="tl">
            <w14:srgbClr w14:val="000000">
              <w14:alpha w14:val="60000"/>
            </w14:srgbClr>
          </w14:shadow>
        </w:rPr>
      </w:pPr>
    </w:p>
    <w:p w14:paraId="5CA0255D" w14:textId="77777777" w:rsidR="0059055B" w:rsidRDefault="0059055B" w:rsidP="0059055B">
      <w:pPr>
        <w:pStyle w:val="ListParagraph"/>
        <w:numPr>
          <w:ilvl w:val="1"/>
          <w:numId w:val="9"/>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93618F">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Kronos’ price of Ti02 for inks is not higher than other applications because in EU-27 there is a duty exemption for inks applications.</w:t>
      </w:r>
    </w:p>
    <w:p w14:paraId="62742817" w14:textId="77777777" w:rsidR="0059055B" w:rsidRDefault="0059055B" w:rsidP="0059055B">
      <w:pPr>
        <w:pStyle w:val="ListParagraph"/>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p>
    <w:p w14:paraId="45D1C7FF" w14:textId="55F08832" w:rsidR="0059055B" w:rsidRPr="0093618F" w:rsidRDefault="0059055B" w:rsidP="0059055B">
      <w:pPr>
        <w:pStyle w:val="ListParagraph"/>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(Sensitive info redacted)</w:t>
      </w:r>
    </w:p>
    <w:p w14:paraId="7794F7F8" w14:textId="1BC7A2B2" w:rsidR="0059055B" w:rsidRDefault="0059055B" w:rsidP="0059055B">
      <w:pPr>
        <w:ind w:left="72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The implementation of the duty exemption for inks by the European Commission on 9</w:t>
      </w:r>
      <w:r w:rsidRPr="00580FA6">
        <w:rPr>
          <w:rFonts w:ascii="Calibri body" w:eastAsia="MS Mincho" w:hAnsi="Calibri body" w:cs="Arial"/>
          <w:bCs/>
          <w:sz w:val="20"/>
          <w:szCs w:val="20"/>
          <w:vertAlign w:val="superscript"/>
          <w:lang w:val="en-GB" w:eastAsia="ja-JP"/>
          <w14:shadow w14:blurRad="50800" w14:dist="38100" w14:dir="2700000" w14:sx="100000" w14:sy="100000" w14:kx="0" w14:ky="0" w14:algn="tl">
            <w14:srgbClr w14:val="000000">
              <w14:alpha w14:val="60000"/>
            </w14:srgbClr>
          </w14:shadow>
        </w:rPr>
        <w:t>th</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January 2025 brought prices from Kronos down (sensitive info redacted). This demonstrates that pricing is regulated by policy &amp; not driven by cross-application arbitrage.</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ab/>
      </w:r>
    </w:p>
    <w:p w14:paraId="6352BFDD" w14:textId="77777777" w:rsidR="0059055B" w:rsidRPr="00D928F6" w:rsidRDefault="0059055B" w:rsidP="0059055B">
      <w:pPr>
        <w:pStyle w:val="ListParagraph"/>
        <w:numPr>
          <w:ilvl w:val="1"/>
          <w:numId w:val="9"/>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D928F6">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Continued reliance on EU-manufactured supply</w:t>
      </w:r>
    </w:p>
    <w:p w14:paraId="78975B45" w14:textId="77777777" w:rsidR="0059055B" w:rsidRDefault="0059055B" w:rsidP="0059055B">
      <w:pPr>
        <w:pStyle w:val="ListParagraph"/>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p>
    <w:p w14:paraId="61956C09" w14:textId="7EFE9AFE" w:rsidR="0059055B" w:rsidRDefault="0059055B" w:rsidP="0059055B">
      <w:pPr>
        <w:pStyle w:val="ListParagraph"/>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(Sensitive info redacted)</w:t>
      </w:r>
    </w:p>
    <w:p w14:paraId="3C5E8CC8" w14:textId="77777777" w:rsidR="0059055B" w:rsidRDefault="0059055B" w:rsidP="0059055B">
      <w:pPr>
        <w:pStyle w:val="ListParagraph"/>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This confirms that purchasing decisions are driven by technical necessity, not opportunistic switching.</w:t>
      </w:r>
    </w:p>
    <w:p w14:paraId="124BA3A2" w14:textId="77777777" w:rsidR="0059055B" w:rsidRDefault="0059055B" w:rsidP="0059055B">
      <w:pPr>
        <w:pStyle w:val="ListParagraph"/>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There is no incentive to misuse exemption for price arbitrage.</w:t>
      </w:r>
    </w:p>
    <w:p w14:paraId="7AD1428F" w14:textId="77777777" w:rsidR="0059055B" w:rsidRPr="00D928F6" w:rsidRDefault="0059055B" w:rsidP="0059055B">
      <w:pPr>
        <w:pStyle w:val="ListParagraph"/>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D928F6">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w:t>
      </w:r>
    </w:p>
    <w:p w14:paraId="48F35771" w14:textId="77777777" w:rsidR="0059055B" w:rsidRDefault="0059055B" w:rsidP="0059055B">
      <w:pPr>
        <w:pStyle w:val="ListParagraph"/>
        <w:numPr>
          <w:ilvl w:val="1"/>
          <w:numId w:val="9"/>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No Feasible Risk of Evasion of the Ink Exemption</w:t>
      </w:r>
    </w:p>
    <w:p w14:paraId="3A6E6EAE" w14:textId="77777777" w:rsidR="0059055B" w:rsidRPr="00492CE5" w:rsidRDefault="0059055B" w:rsidP="0059055B">
      <w:pPr>
        <w:ind w:left="36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492CE5">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There is no feasible risk of evasion of an anti</w:t>
      </w:r>
      <w:r w:rsidRPr="00492CE5">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noBreakHyphen/>
        <w:t>dumping duty exemption granted specifically for ink applications by diverting the product to non</w:t>
      </w:r>
      <w:r w:rsidRPr="00492CE5">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noBreakHyphen/>
        <w:t>ink uses. This is because such exemptions are not granted generically but are strictly linked to the declared end-use and subject to prior verification.</w:t>
      </w:r>
    </w:p>
    <w:p w14:paraId="3998E0E1" w14:textId="77777777" w:rsidR="0059055B" w:rsidRPr="00C614F1" w:rsidRDefault="0059055B" w:rsidP="0059055B">
      <w:pPr>
        <w:ind w:left="36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C614F1">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In practice, exemptions for ink applications are awarded only after preliminary investigations by customs authorities, which include the issuance of ad hoc authorisations to verified ink manufacturers. These authorisations confirm both the legitimacy of the applicant and the intended industrial use of the material.</w:t>
      </w:r>
    </w:p>
    <w:p w14:paraId="38F7DF25" w14:textId="77777777" w:rsidR="0059055B" w:rsidRPr="00C614F1" w:rsidRDefault="0059055B" w:rsidP="0059055B">
      <w:pPr>
        <w:ind w:left="36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C614F1">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As a result, a non</w:t>
      </w:r>
      <w:r w:rsidRPr="00C614F1">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noBreakHyphen/>
        <w:t xml:space="preserve">ink manufacturer cannot procure </w:t>
      </w:r>
      <w:proofErr w:type="spellStart"/>
      <w:r w:rsidRPr="00C614F1">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TiO</w:t>
      </w:r>
      <w:proofErr w:type="spellEnd"/>
      <w:r w:rsidRPr="00C614F1">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₂ under an ink-specific exemption. Without the required preliminary approval and authorisation from the relevant customs authorities, such a company would not qualify for the exemption. Consequently, the regulatory framework ensures that only bona fide ink manufacturers can benefit from the duty exemption, effectively preventing misuse or diversion.</w:t>
      </w:r>
    </w:p>
    <w:p w14:paraId="479DBCF9" w14:textId="77777777" w:rsidR="0059055B" w:rsidRPr="00FE216F" w:rsidRDefault="0059055B" w:rsidP="0059055B">
      <w:pPr>
        <w:pStyle w:val="ListParagraph"/>
        <w:numPr>
          <w:ilvl w:val="1"/>
          <w:numId w:val="9"/>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FE216F">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Commission already assesse</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d</w:t>
      </w:r>
      <w:r w:rsidRPr="00FE216F">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&amp; rejected evasion concerns</w:t>
      </w:r>
    </w:p>
    <w:p w14:paraId="0967819D" w14:textId="77777777" w:rsidR="0059055B" w:rsidRPr="00FE216F" w:rsidRDefault="0059055B" w:rsidP="0059055B">
      <w:pPr>
        <w:ind w:left="36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FE216F">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The statement from Kronos on this risk has already been considered as invalid by the EU-27 Commission on the same case. (Commission Implementing Regulation (EU) 2025/4 of 17 December 2024).</w:t>
      </w:r>
    </w:p>
    <w:p w14:paraId="62E41FC0" w14:textId="77777777" w:rsidR="0059055B" w:rsidRDefault="0059055B" w:rsidP="0059055B">
      <w:pPr>
        <w:pStyle w:val="ListParagraph"/>
        <w:numPr>
          <w:ilvl w:val="1"/>
          <w:numId w:val="9"/>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No Risk of Price Dumping in Ink Segment</w:t>
      </w:r>
    </w:p>
    <w:p w14:paraId="64A30009" w14:textId="77777777" w:rsidR="0059055B" w:rsidRDefault="0059055B" w:rsidP="0059055B">
      <w:pPr>
        <w:ind w:left="360"/>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I</w:t>
      </w:r>
      <w:r w:rsidRPr="00246C79">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f </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Kronos’ claim were correct (price parity across applications), then:</w:t>
      </w:r>
    </w:p>
    <w:p w14:paraId="5C4539B3" w14:textId="77777777" w:rsidR="0059055B" w:rsidRDefault="0059055B" w:rsidP="0059055B">
      <w:pPr>
        <w:pStyle w:val="ListParagraph"/>
        <w:numPr>
          <w:ilvl w:val="0"/>
          <w:numId w:val="10"/>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BF6D4F">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Ink</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w:t>
      </w:r>
      <w:r w:rsidRPr="00BF6D4F">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grade Ti02</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is already priced at market-equivalent levels</w:t>
      </w:r>
    </w:p>
    <w:p w14:paraId="66C37F76" w14:textId="77777777" w:rsidR="0059055B" w:rsidRDefault="0059055B" w:rsidP="0059055B">
      <w:pPr>
        <w:pStyle w:val="ListParagraph"/>
        <w:numPr>
          <w:ilvl w:val="0"/>
          <w:numId w:val="10"/>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Non-ink sectors remain protected by anti-dumping duties</w:t>
      </w:r>
    </w:p>
    <w:p w14:paraId="74FDC03C" w14:textId="77777777" w:rsidR="0059055B" w:rsidRDefault="0059055B" w:rsidP="0059055B">
      <w:p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 xml:space="preserve">       Therefore:</w:t>
      </w:r>
    </w:p>
    <w:p w14:paraId="45C4ACFE" w14:textId="77777777" w:rsidR="0059055B" w:rsidRDefault="0059055B" w:rsidP="0059055B">
      <w:pPr>
        <w:pStyle w:val="ListParagraph"/>
        <w:numPr>
          <w:ilvl w:val="0"/>
          <w:numId w:val="11"/>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Chinese producers cannot undercut selectively in inks applications</w:t>
      </w:r>
    </w:p>
    <w:p w14:paraId="252D5508" w14:textId="77777777" w:rsidR="0059055B" w:rsidRDefault="0059055B" w:rsidP="0059055B">
      <w:pPr>
        <w:pStyle w:val="ListParagraph"/>
        <w:numPr>
          <w:ilvl w:val="0"/>
          <w:numId w:val="11"/>
        </w:num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There is no distortion specific to inks</w:t>
      </w:r>
    </w:p>
    <w:p w14:paraId="5723D5B1" w14:textId="77777777" w:rsidR="0059055B" w:rsidRPr="008954BE" w:rsidRDefault="0059055B" w:rsidP="0059055B">
      <w:p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
          <w:sz w:val="20"/>
          <w:szCs w:val="20"/>
          <w:lang w:val="en-GB" w:eastAsia="ja-JP"/>
          <w14:shadow w14:blurRad="50800" w14:dist="38100" w14:dir="2700000" w14:sx="100000" w14:sy="100000" w14:kx="0" w14:ky="0" w14:algn="tl">
            <w14:srgbClr w14:val="000000">
              <w14:alpha w14:val="60000"/>
            </w14:srgbClr>
          </w14:shadow>
        </w:rPr>
        <w:lastRenderedPageBreak/>
        <w:t>3.</w:t>
      </w:r>
      <w:r w:rsidRPr="008954BE">
        <w:rPr>
          <w:rFonts w:ascii="Calibri body" w:eastAsia="MS Mincho" w:hAnsi="Calibri body" w:cs="Arial"/>
          <w:b/>
          <w:sz w:val="20"/>
          <w:szCs w:val="20"/>
          <w:lang w:val="en-GB" w:eastAsia="ja-JP"/>
          <w14:shadow w14:blurRad="50800" w14:dist="38100" w14:dir="2700000" w14:sx="100000" w14:sy="100000" w14:kx="0" w14:ky="0" w14:algn="tl">
            <w14:srgbClr w14:val="000000">
              <w14:alpha w14:val="60000"/>
            </w14:srgbClr>
          </w14:shadow>
        </w:rPr>
        <w:t xml:space="preserve"> Conclusion</w:t>
      </w:r>
    </w:p>
    <w:p w14:paraId="14C9D393" w14:textId="77777777" w:rsidR="0059055B" w:rsidRDefault="0059055B" w:rsidP="0059055B">
      <w:p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Ti02 for Inks is technically &amp; commercially differentiated even if not codified in customs categories.</w:t>
      </w:r>
    </w:p>
    <w:p w14:paraId="1DC673F0" w14:textId="77777777" w:rsidR="0059055B" w:rsidRPr="001F53A5" w:rsidRDefault="0059055B" w:rsidP="0059055B">
      <w:pPr>
        <w:rPr>
          <w:rFonts w:ascii="Calibri body" w:eastAsia="MS Mincho" w:hAnsi="Calibri body" w:cs="Arial" w:hint="eastAsia"/>
          <w:bCs/>
          <w:sz w:val="20"/>
          <w:szCs w:val="20"/>
          <w:lang w:val="en-GB" w:eastAsia="ja-JP"/>
          <w14:shadow w14:blurRad="50800" w14:dist="38100" w14:dir="2700000" w14:sx="100000" w14:sy="100000" w14:kx="0" w14:ky="0" w14:algn="tl">
            <w14:srgbClr w14:val="000000">
              <w14:alpha w14:val="60000"/>
            </w14:srgbClr>
          </w14:shadow>
        </w:rPr>
      </w:pPr>
      <w:r w:rsidRPr="001F53A5">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The EU market lacks sufficient dom</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e</w:t>
      </w:r>
      <w:r w:rsidRPr="001F53A5">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stic capacity</w:t>
      </w: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w:t>
      </w:r>
    </w:p>
    <w:p w14:paraId="615A873E" w14:textId="77777777" w:rsidR="0059055B" w:rsidRPr="001F53A5" w:rsidRDefault="0059055B" w:rsidP="0059055B">
      <w:pPr>
        <w:rPr>
          <w:rFonts w:ascii="Calibri body" w:eastAsia="MS Mincho" w:hAnsi="Calibri body" w:cs="Arial" w:hint="eastAsia"/>
          <w:b/>
          <w:sz w:val="20"/>
          <w:szCs w:val="20"/>
          <w:lang w:val="en-GB" w:eastAsia="ja-JP"/>
          <w14:shadow w14:blurRad="50800" w14:dist="38100" w14:dir="2700000" w14:sx="100000" w14:sy="100000" w14:kx="0" w14:ky="0" w14:algn="tl">
            <w14:srgbClr w14:val="000000">
              <w14:alpha w14:val="60000"/>
            </w14:srgbClr>
          </w14:shadow>
        </w:rPr>
      </w:pPr>
      <w:r>
        <w:rPr>
          <w:rFonts w:ascii="Calibri body" w:eastAsia="MS Mincho" w:hAnsi="Calibri body" w:cs="Arial"/>
          <w:bCs/>
          <w:sz w:val="20"/>
          <w:szCs w:val="20"/>
          <w:lang w:val="en-GB" w:eastAsia="ja-JP"/>
          <w14:shadow w14:blurRad="50800" w14:dist="38100" w14:dir="2700000" w14:sx="100000" w14:sy="100000" w14:kx="0" w14:ky="0" w14:algn="tl">
            <w14:srgbClr w14:val="000000">
              <w14:alpha w14:val="60000"/>
            </w14:srgbClr>
          </w14:shadow>
        </w:rPr>
        <w:t>An Ink exemption is both justified &amp; robust, with no credible risk of misuse.</w:t>
      </w:r>
    </w:p>
    <w:p w14:paraId="7BC5E850" w14:textId="77777777" w:rsidR="00101713" w:rsidRPr="0059055B" w:rsidRDefault="00101713">
      <w:pPr>
        <w:rPr>
          <w:lang w:val="en-GB"/>
        </w:rPr>
      </w:pPr>
    </w:p>
    <w:sectPr w:rsidR="00101713" w:rsidRPr="0059055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28D58" w14:textId="77777777" w:rsidR="00B25002" w:rsidRDefault="00B25002" w:rsidP="00A646B6">
      <w:pPr>
        <w:spacing w:after="0"/>
      </w:pPr>
      <w:r>
        <w:separator/>
      </w:r>
    </w:p>
  </w:endnote>
  <w:endnote w:type="continuationSeparator" w:id="0">
    <w:p w14:paraId="0A045462" w14:textId="77777777" w:rsidR="00B25002" w:rsidRDefault="00B25002" w:rsidP="00A646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body">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083A5" w14:textId="77777777" w:rsidR="00B25002" w:rsidRDefault="00B25002" w:rsidP="00A646B6">
      <w:pPr>
        <w:spacing w:after="0"/>
      </w:pPr>
      <w:r>
        <w:separator/>
      </w:r>
    </w:p>
  </w:footnote>
  <w:footnote w:type="continuationSeparator" w:id="0">
    <w:p w14:paraId="24750C38" w14:textId="77777777" w:rsidR="00B25002" w:rsidRDefault="00B25002" w:rsidP="00A646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45098"/>
    <w:multiLevelType w:val="hybridMultilevel"/>
    <w:tmpl w:val="1E0E457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36DB2B4B"/>
    <w:multiLevelType w:val="hybridMultilevel"/>
    <w:tmpl w:val="33AEF9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84910B7"/>
    <w:multiLevelType w:val="multilevel"/>
    <w:tmpl w:val="013805C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11B7D85"/>
    <w:multiLevelType w:val="hybridMultilevel"/>
    <w:tmpl w:val="47E6A5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1FA5B6F"/>
    <w:multiLevelType w:val="hybridMultilevel"/>
    <w:tmpl w:val="4628E4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5B2907F4"/>
    <w:multiLevelType w:val="multilevel"/>
    <w:tmpl w:val="BD2AA85A"/>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1FA01A6"/>
    <w:multiLevelType w:val="hybridMultilevel"/>
    <w:tmpl w:val="CA0CDD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742B5DFB"/>
    <w:multiLevelType w:val="multilevel"/>
    <w:tmpl w:val="0EE02AA2"/>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5E23C60"/>
    <w:multiLevelType w:val="hybridMultilevel"/>
    <w:tmpl w:val="CA8613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B6F160F"/>
    <w:multiLevelType w:val="hybridMultilevel"/>
    <w:tmpl w:val="EC109FE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E6E0CC5"/>
    <w:multiLevelType w:val="hybridMultilevel"/>
    <w:tmpl w:val="192E72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29831948">
    <w:abstractNumId w:val="7"/>
  </w:num>
  <w:num w:numId="2" w16cid:durableId="1570654479">
    <w:abstractNumId w:val="9"/>
  </w:num>
  <w:num w:numId="3" w16cid:durableId="118764119">
    <w:abstractNumId w:val="10"/>
  </w:num>
  <w:num w:numId="4" w16cid:durableId="446386252">
    <w:abstractNumId w:val="1"/>
  </w:num>
  <w:num w:numId="5" w16cid:durableId="410156723">
    <w:abstractNumId w:val="5"/>
  </w:num>
  <w:num w:numId="6" w16cid:durableId="1612318297">
    <w:abstractNumId w:val="4"/>
  </w:num>
  <w:num w:numId="7" w16cid:durableId="540047722">
    <w:abstractNumId w:val="0"/>
  </w:num>
  <w:num w:numId="8" w16cid:durableId="1061632079">
    <w:abstractNumId w:val="6"/>
  </w:num>
  <w:num w:numId="9" w16cid:durableId="61415905">
    <w:abstractNumId w:val="2"/>
  </w:num>
  <w:num w:numId="10" w16cid:durableId="658273734">
    <w:abstractNumId w:val="8"/>
  </w:num>
  <w:num w:numId="11" w16cid:durableId="1987976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55B"/>
    <w:rsid w:val="00101713"/>
    <w:rsid w:val="00215334"/>
    <w:rsid w:val="0059055B"/>
    <w:rsid w:val="00812C03"/>
    <w:rsid w:val="008F0CDC"/>
    <w:rsid w:val="00A646B6"/>
    <w:rsid w:val="00B25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CF5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55B"/>
    <w:pPr>
      <w:spacing w:after="200" w:line="240" w:lineRule="auto"/>
      <w:jc w:val="both"/>
    </w:pPr>
    <w:rPr>
      <w:kern w:val="0"/>
      <w:sz w:val="22"/>
      <w:szCs w:val="22"/>
      <w:lang w:val="en-US"/>
      <w14:ligatures w14:val="none"/>
    </w:rPr>
  </w:style>
  <w:style w:type="paragraph" w:styleId="Heading1">
    <w:name w:val="heading 1"/>
    <w:basedOn w:val="Normal"/>
    <w:next w:val="Normal"/>
    <w:link w:val="Heading1Char"/>
    <w:uiPriority w:val="9"/>
    <w:qFormat/>
    <w:rsid w:val="005905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05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05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05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05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05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05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05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05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5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05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05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05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05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05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05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05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055B"/>
    <w:rPr>
      <w:rFonts w:eastAsiaTheme="majorEastAsia" w:cstheme="majorBidi"/>
      <w:color w:val="272727" w:themeColor="text1" w:themeTint="D8"/>
    </w:rPr>
  </w:style>
  <w:style w:type="paragraph" w:styleId="Title">
    <w:name w:val="Title"/>
    <w:basedOn w:val="Normal"/>
    <w:next w:val="Normal"/>
    <w:link w:val="TitleChar"/>
    <w:uiPriority w:val="10"/>
    <w:qFormat/>
    <w:rsid w:val="0059055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05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05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05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055B"/>
    <w:pPr>
      <w:spacing w:before="160"/>
      <w:jc w:val="center"/>
    </w:pPr>
    <w:rPr>
      <w:i/>
      <w:iCs/>
      <w:color w:val="404040" w:themeColor="text1" w:themeTint="BF"/>
    </w:rPr>
  </w:style>
  <w:style w:type="character" w:customStyle="1" w:styleId="QuoteChar">
    <w:name w:val="Quote Char"/>
    <w:basedOn w:val="DefaultParagraphFont"/>
    <w:link w:val="Quote"/>
    <w:uiPriority w:val="29"/>
    <w:rsid w:val="0059055B"/>
    <w:rPr>
      <w:i/>
      <w:iCs/>
      <w:color w:val="404040" w:themeColor="text1" w:themeTint="BF"/>
    </w:rPr>
  </w:style>
  <w:style w:type="paragraph" w:styleId="ListParagraph">
    <w:name w:val="List Paragraph"/>
    <w:basedOn w:val="Normal"/>
    <w:uiPriority w:val="34"/>
    <w:qFormat/>
    <w:rsid w:val="0059055B"/>
    <w:pPr>
      <w:ind w:left="720"/>
      <w:contextualSpacing/>
    </w:pPr>
  </w:style>
  <w:style w:type="character" w:styleId="IntenseEmphasis">
    <w:name w:val="Intense Emphasis"/>
    <w:basedOn w:val="DefaultParagraphFont"/>
    <w:uiPriority w:val="21"/>
    <w:qFormat/>
    <w:rsid w:val="0059055B"/>
    <w:rPr>
      <w:i/>
      <w:iCs/>
      <w:color w:val="0F4761" w:themeColor="accent1" w:themeShade="BF"/>
    </w:rPr>
  </w:style>
  <w:style w:type="paragraph" w:styleId="IntenseQuote">
    <w:name w:val="Intense Quote"/>
    <w:basedOn w:val="Normal"/>
    <w:next w:val="Normal"/>
    <w:link w:val="IntenseQuoteChar"/>
    <w:uiPriority w:val="30"/>
    <w:qFormat/>
    <w:rsid w:val="005905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055B"/>
    <w:rPr>
      <w:i/>
      <w:iCs/>
      <w:color w:val="0F4761" w:themeColor="accent1" w:themeShade="BF"/>
    </w:rPr>
  </w:style>
  <w:style w:type="character" w:styleId="IntenseReference">
    <w:name w:val="Intense Reference"/>
    <w:basedOn w:val="DefaultParagraphFont"/>
    <w:uiPriority w:val="32"/>
    <w:qFormat/>
    <w:rsid w:val="0059055B"/>
    <w:rPr>
      <w:b/>
      <w:bCs/>
      <w:smallCaps/>
      <w:color w:val="0F4761" w:themeColor="accent1" w:themeShade="BF"/>
      <w:spacing w:val="5"/>
    </w:rPr>
  </w:style>
  <w:style w:type="paragraph" w:styleId="Header">
    <w:name w:val="header"/>
    <w:basedOn w:val="Normal"/>
    <w:link w:val="HeaderChar"/>
    <w:uiPriority w:val="99"/>
    <w:unhideWhenUsed/>
    <w:rsid w:val="00A646B6"/>
    <w:pPr>
      <w:tabs>
        <w:tab w:val="center" w:pos="4513"/>
        <w:tab w:val="right" w:pos="9026"/>
      </w:tabs>
      <w:spacing w:after="0"/>
    </w:pPr>
  </w:style>
  <w:style w:type="character" w:customStyle="1" w:styleId="HeaderChar">
    <w:name w:val="Header Char"/>
    <w:basedOn w:val="DefaultParagraphFont"/>
    <w:link w:val="Header"/>
    <w:uiPriority w:val="99"/>
    <w:rsid w:val="00A646B6"/>
    <w:rPr>
      <w:kern w:val="0"/>
      <w:sz w:val="22"/>
      <w:szCs w:val="22"/>
      <w:lang w:val="en-US"/>
      <w14:ligatures w14:val="none"/>
    </w:rPr>
  </w:style>
  <w:style w:type="paragraph" w:styleId="Footer">
    <w:name w:val="footer"/>
    <w:basedOn w:val="Normal"/>
    <w:link w:val="FooterChar"/>
    <w:uiPriority w:val="99"/>
    <w:unhideWhenUsed/>
    <w:rsid w:val="00A646B6"/>
    <w:pPr>
      <w:tabs>
        <w:tab w:val="center" w:pos="4513"/>
        <w:tab w:val="right" w:pos="9026"/>
      </w:tabs>
      <w:spacing w:after="0"/>
    </w:pPr>
  </w:style>
  <w:style w:type="character" w:customStyle="1" w:styleId="FooterChar">
    <w:name w:val="Footer Char"/>
    <w:basedOn w:val="DefaultParagraphFont"/>
    <w:link w:val="Footer"/>
    <w:uiPriority w:val="99"/>
    <w:rsid w:val="00A646B6"/>
    <w:rPr>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632</Words>
  <Characters>3608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2026-07-21T08:42:00Z</dcterms:created>
  <dcterms:modified xsi:type="dcterms:W3CDTF">2026-07-21T08:43:00Z</dcterms:modified>
</cp:coreProperties>
</file>